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Способы оплаты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личный расчё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Если товар доставляется курьером, то оплата осуществляется наличными курьеру в руки. При получении товара обязательно проверьте комплектацию товара, наличие гарантийного талона и чек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анковской карто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Для выбора оплаты товара с помощью банковской карты на соответствующей странице необходимо нажать кнопку Оплата заказа банковской картой. Оплата происходит через ПАО СБЕРБАНК с использованием банковских карт следующих платёжных систем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ИР (разместить логотип МИР)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SA International (разместить логотип VISA International)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stercard Worldwide (разместить логотип Mastercard Worldwide)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CB (разместить логотип JCB)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